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C7" w:rsidRDefault="006954B4">
      <w:pPr>
        <w:pStyle w:val="Default"/>
        <w:jc w:val="right"/>
      </w:pPr>
      <w:r>
        <w:rPr>
          <w:rFonts w:ascii="Garamond" w:hAnsi="Garamond" w:cs="Garamond"/>
          <w:b/>
          <w:i/>
          <w:smallCaps/>
          <w:sz w:val="20"/>
        </w:rPr>
        <w:t>Allega</w:t>
      </w:r>
      <w:r w:rsidR="00475035">
        <w:rPr>
          <w:rFonts w:ascii="Garamond" w:hAnsi="Garamond" w:cs="Garamond"/>
          <w:b/>
          <w:i/>
          <w:smallCaps/>
          <w:sz w:val="20"/>
        </w:rPr>
        <w:t>to 3 –  Schema di dichiarazione</w:t>
      </w:r>
      <w:r>
        <w:rPr>
          <w:rFonts w:ascii="Garamond" w:hAnsi="Garamond" w:cs="Garamond"/>
          <w:b/>
          <w:i/>
          <w:smallCaps/>
          <w:sz w:val="20"/>
        </w:rPr>
        <w:t xml:space="preserve"> integrativa</w:t>
      </w:r>
    </w:p>
    <w:p w:rsidR="00967FC7" w:rsidRDefault="00967FC7">
      <w:pPr>
        <w:spacing w:after="113"/>
        <w:ind w:right="191"/>
        <w:jc w:val="both"/>
        <w:rPr>
          <w:rFonts w:ascii="Garamond" w:hAnsi="Garamond" w:cs="Garamond"/>
          <w:b/>
          <w:i/>
          <w:smallCaps/>
          <w:sz w:val="20"/>
        </w:rPr>
      </w:pPr>
    </w:p>
    <w:p w:rsidR="00967FC7" w:rsidRDefault="00967FC7">
      <w:pPr>
        <w:spacing w:after="113"/>
        <w:ind w:right="191"/>
        <w:jc w:val="both"/>
        <w:rPr>
          <w:rFonts w:ascii="Garamond" w:hAnsi="Garamond" w:cs="Garamond"/>
          <w:b/>
          <w:smallCaps/>
          <w:sz w:val="20"/>
        </w:rPr>
      </w:pPr>
    </w:p>
    <w:p w:rsidR="00967FC7" w:rsidRDefault="006954B4">
      <w:pPr>
        <w:spacing w:after="113"/>
        <w:ind w:left="1440" w:right="191" w:hanging="1440"/>
        <w:jc w:val="both"/>
      </w:pP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Oggetto: </w:t>
      </w: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ab/>
        <w:t xml:space="preserve">procedura aperta, indetta dalla </w:t>
      </w:r>
      <w:r>
        <w:rPr>
          <w:rFonts w:ascii="Garamond" w:eastAsia="Garamond" w:hAnsi="Garamond" w:cs="Times New Roman"/>
          <w:b/>
          <w:bCs/>
          <w:color w:val="000000"/>
          <w:spacing w:val="5"/>
          <w:kern w:val="2"/>
          <w:sz w:val="23"/>
          <w:szCs w:val="23"/>
          <w:lang w:bidi="en-US"/>
        </w:rPr>
        <w:t>Direzione Generale per la lotta alla povertà e per la programmazione sociale del Ministero del lavoro e delle politiche sociali</w:t>
      </w: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, per l'affidamento del servizio di valutazione indipendente </w:t>
      </w:r>
      <w:r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>del PO</w:t>
      </w:r>
      <w:bookmarkStart w:id="0" w:name="_GoBack"/>
      <w:bookmarkEnd w:id="0"/>
      <w:r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>N INCLUSIONE FSE 2014/2020</w:t>
      </w:r>
      <w:r w:rsidR="009E4A17"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 xml:space="preserve"> - </w:t>
      </w:r>
      <w:r w:rsidR="009E4A17" w:rsidRP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>CIG</w:t>
      </w:r>
      <w:r w:rsidR="009E4A17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 </w:t>
      </w:r>
      <w:r w:rsidR="009E4A17" w:rsidRP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>8021706932</w:t>
      </w:r>
    </w:p>
    <w:p w:rsidR="00967FC7" w:rsidRDefault="00967FC7">
      <w:pPr>
        <w:spacing w:after="113"/>
        <w:ind w:left="260" w:right="347"/>
        <w:jc w:val="center"/>
        <w:rPr>
          <w:rFonts w:ascii="Garamond" w:hAnsi="Garamond" w:cs="Times New Roman"/>
          <w:color w:val="000000"/>
          <w:sz w:val="23"/>
          <w:szCs w:val="23"/>
        </w:rPr>
      </w:pPr>
    </w:p>
    <w:p w:rsidR="00967FC7" w:rsidRDefault="006954B4">
      <w:pPr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Il/La sottoscritto/a ………………… ……………, </w:t>
      </w:r>
      <w:r w:rsidR="00693433">
        <w:rPr>
          <w:rFonts w:ascii="Garamond" w:eastAsia="Garamond" w:hAnsi="Garamond" w:cs="Garamond"/>
          <w:color w:val="000000"/>
          <w:sz w:val="23"/>
          <w:szCs w:val="23"/>
        </w:rPr>
        <w:t xml:space="preserve">nato/a </w:t>
      </w:r>
      <w:proofErr w:type="spellStart"/>
      <w:r w:rsidR="00693433">
        <w:rPr>
          <w:rFonts w:ascii="Garamond" w:eastAsia="Garamond" w:hAnsi="Garamond" w:cs="Garamond"/>
          <w:color w:val="000000"/>
          <w:sz w:val="23"/>
          <w:szCs w:val="23"/>
        </w:rPr>
        <w:t>a</w:t>
      </w:r>
      <w:proofErr w:type="spellEnd"/>
      <w:r w:rsidR="00693433">
        <w:rPr>
          <w:rFonts w:ascii="Garamond" w:eastAsia="Garamond" w:hAnsi="Garamond" w:cs="Garamond"/>
          <w:color w:val="000000"/>
          <w:sz w:val="23"/>
          <w:szCs w:val="23"/>
        </w:rPr>
        <w:t xml:space="preserve"> ……………… il .../.../...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, codice fiscale ………...........………, nella qualità di …................................ dell’Operatore economico …………………………………, con sede legale in ……………………............., codice fiscale .................................. partita </w:t>
      </w:r>
      <w:proofErr w:type="gramStart"/>
      <w:r>
        <w:rPr>
          <w:rFonts w:ascii="Garamond" w:eastAsia="Garamond" w:hAnsi="Garamond" w:cs="Garamond"/>
          <w:color w:val="000000"/>
          <w:sz w:val="23"/>
          <w:szCs w:val="23"/>
        </w:rPr>
        <w:t>IVA  …</w:t>
      </w:r>
      <w:proofErr w:type="gramEnd"/>
      <w:r>
        <w:rPr>
          <w:rFonts w:ascii="Garamond" w:eastAsia="Garamond" w:hAnsi="Garamond" w:cs="Garamond"/>
          <w:color w:val="000000"/>
          <w:sz w:val="23"/>
          <w:szCs w:val="23"/>
        </w:rPr>
        <w:t>………………, sotto la propria responsabilità, consapevole delle conseguenze civili, amministrative e penali richiamate dall’art. 76 del DPR. 445/00 in caso di dichiarazioni mendaci, ai sensi e per gli effetti degli art. 46 e 47 del medesimo DPR., nella sua su indicata qualità:</w:t>
      </w:r>
    </w:p>
    <w:p w:rsidR="00967FC7" w:rsidRDefault="00967FC7">
      <w:pPr>
        <w:spacing w:line="300" w:lineRule="auto"/>
        <w:ind w:left="6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1.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dichiara di non incorrere nelle cause di esclusione di cui all’art. 80, comma 5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lett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>. f-bis) e f-ter) del Codice;</w:t>
      </w:r>
    </w:p>
    <w:p w:rsidR="00967FC7" w:rsidRDefault="006954B4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2.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indica i seguenti dati identificativi (nome, cognome, data e luogo di nascita, codice fiscale, comune di residenza etc.) dei soggetti di cui all’art. 80, comma 3 del Codice:</w:t>
      </w:r>
    </w:p>
    <w:p w:rsidR="00967FC7" w:rsidRDefault="006954B4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ab/>
        <w:t>_________________</w:t>
      </w:r>
    </w:p>
    <w:p w:rsidR="00967FC7" w:rsidRDefault="006954B4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ab/>
        <w:t>_________________</w:t>
      </w:r>
    </w:p>
    <w:p w:rsidR="00967FC7" w:rsidRDefault="006954B4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ab/>
        <w:t>etc.</w:t>
      </w:r>
    </w:p>
    <w:p w:rsidR="00967FC7" w:rsidRDefault="006954B4">
      <w:pPr>
        <w:pStyle w:val="Paragrafoelenco1"/>
        <w:widowControl w:val="0"/>
        <w:spacing w:after="85" w:line="283" w:lineRule="exact"/>
        <w:ind w:left="284" w:hanging="284"/>
        <w:jc w:val="both"/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   o 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>in alternativa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indica la banca dati ufficiale o il pubblico registro da cui i medesimi possono essere ricavati in modo aggiornato alla data di presentazione dell’offerta;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3.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dichiara remunerativa l’offerta economica presentata giacché per la sua formulazione ha preso atto e tenuto conto: a) delle condizioni contrattuali e degli oneri compresi quelli eventuali relativi in materia di sicurezza, di assicurazione, di condizioni di lavoro e di previdenza e assistenza in vigore nel luogo dove devono essere svolti i servizi/fornitura; b) di tutte le circostanze generali, particolari e locali, nessuna esclusa ed eccettuata, che possono avere influito o influire sia sulla prestazione dei 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>servizi/fornitura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, sia sulla determinazione della propria offerta;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4.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accetta, senza condizione o riserva alcuna, tutte le norme e disposizioni contenute nella documentazione gara;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5.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accetta il patto di integrità adottato dalla stazione appaltante, sub</w:t>
      </w:r>
      <w:r>
        <w:rPr>
          <w:rFonts w:ascii="Garamond" w:eastAsia="Garamond" w:hAnsi="Garamond" w:cs="Garamond"/>
          <w:i/>
          <w:color w:val="000000"/>
          <w:sz w:val="23"/>
          <w:szCs w:val="23"/>
        </w:rPr>
        <w:t xml:space="preserve">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allegato </w:t>
      </w:r>
      <w:r w:rsidR="00494632">
        <w:rPr>
          <w:rFonts w:ascii="Garamond" w:eastAsia="Garamond" w:hAnsi="Garamond" w:cs="Garamond"/>
          <w:color w:val="000000"/>
          <w:sz w:val="23"/>
          <w:szCs w:val="23"/>
        </w:rPr>
        <w:t>2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unito al Disciplinare;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6.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indica i seguenti dati: domicilio fiscale __________; codice fiscale__________, partita IVA_______; l’indirizzo PEC __________ </w:t>
      </w: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oppure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, solo in caso di concorrenti aventi sede in altri Stati membri, l’indirizzo di posta elettronica, ai fini delle comunicazioni di cui all’art. 76, comma 5 del Codice (in caso di concorrenti plurimi / aggregati, tali comunicazioni verranno comunque validamente inviate all'indirizzo PEC fornito dall'Impresa mandataria / capogruppo) __________;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>7.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autorizza qualora un partecipante alla gara eserciti la facoltà di “accesso agli atti”, la stazione appaltante a rilasciare copia di tutta la documentazione presentata per la partecipazione alla gara oppure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tecnico/commerciale; tale dichiarazione dovrà essere adeguatamente motivata e comprovata ai sensi dell’art. 53, comma 5,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lett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. a), del Codice;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lastRenderedPageBreak/>
        <w:t xml:space="preserve">8. </w:t>
      </w:r>
      <w:r>
        <w:rPr>
          <w:rFonts w:ascii="Garamond" w:eastAsia="Garamond" w:hAnsi="Garamond" w:cs="Garamond"/>
          <w:color w:val="000000"/>
          <w:sz w:val="23"/>
          <w:szCs w:val="23"/>
        </w:rPr>
        <w:t>attesta di aver preso visione e di accettare specificamente quanto previsto all’art. 24 del Disciplinare di gara, in merito al trattamento dei dati personali forniti;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 xml:space="preserve">   per gli operatori economici aventi sede, residenza o domicilio nei paesi inseriti nelle c.d. “</w:t>
      </w:r>
      <w:proofErr w:type="spellStart"/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>black</w:t>
      </w:r>
      <w:proofErr w:type="spellEnd"/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 xml:space="preserve"> list”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9.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dichiara di essere in possesso dell’autorizzazione in corso di validità rilasciata ai sensi del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d.m.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14 dicembre 2010 del Ministero dell’economia e delle finanze ai sensi (art. 37 del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d.l.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78/2010,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conv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. in l. 122/2010) </w:t>
      </w: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oppure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dichiara di aver presentato domanda di autorizzazione ai sensi dell’art. 1 comma 3 del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d.m.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14.12.2010 e allega copia conforme dell’istanza di autorizzazione inviata al Ministero;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 xml:space="preserve">   per gli operatori economici non residenti e privi di stabile organizzazione in Italia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 xml:space="preserve">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10.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si impegna ad uniformarsi, in caso di aggiudicazione, alla disciplina di cui agli articoli 17, comma 2, e 53, comma 3 del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d.p.r.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 633/1972 e a comunicare alla stazione appaltante la nomina del proprio rappresentante fiscale, nelle forme di legge;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   </w:t>
      </w:r>
      <w:r>
        <w:rPr>
          <w:rFonts w:ascii="Garamond" w:eastAsia="Garamond" w:hAnsi="Garamond" w:cs="Garamond"/>
          <w:b/>
          <w:bCs/>
          <w:i/>
          <w:iCs/>
          <w:color w:val="000000"/>
          <w:sz w:val="23"/>
          <w:szCs w:val="23"/>
        </w:rPr>
        <w:t xml:space="preserve">per gli operatori economici ammessi al concordato preventivo con continuità aziendale di cui all’art. 186 bis del R.D. 16 marzo 1942, n. 267 </w:t>
      </w:r>
    </w:p>
    <w:p w:rsidR="00967FC7" w:rsidRDefault="006954B4">
      <w:pPr>
        <w:spacing w:line="300" w:lineRule="auto"/>
        <w:ind w:left="6"/>
        <w:jc w:val="both"/>
      </w:pPr>
      <w:r>
        <w:rPr>
          <w:rFonts w:ascii="Garamond" w:eastAsia="Garamond" w:hAnsi="Garamond" w:cs="Garamond"/>
          <w:b/>
          <w:bCs/>
          <w:color w:val="000000"/>
          <w:sz w:val="23"/>
          <w:szCs w:val="23"/>
        </w:rPr>
        <w:t xml:space="preserve">11.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indica, ad integrazione di quanto indicato nella parte III, sez. C, </w:t>
      </w:r>
      <w:proofErr w:type="spellStart"/>
      <w:r>
        <w:rPr>
          <w:rFonts w:ascii="Garamond" w:eastAsia="Garamond" w:hAnsi="Garamond" w:cs="Garamond"/>
          <w:color w:val="000000"/>
          <w:sz w:val="23"/>
          <w:szCs w:val="23"/>
        </w:rPr>
        <w:t>lett</w:t>
      </w:r>
      <w:proofErr w:type="spellEnd"/>
      <w:r>
        <w:rPr>
          <w:rFonts w:ascii="Garamond" w:eastAsia="Garamond" w:hAnsi="Garamond" w:cs="Garamond"/>
          <w:color w:val="000000"/>
          <w:sz w:val="23"/>
          <w:szCs w:val="23"/>
        </w:rPr>
        <w:t xml:space="preserve">. d) del DGUE, gli estremi del provvedimento di ammissione al concordato e del provvedimento di autorizzazione a partecipare alle gare, nonché dichiara di non partecipare alla gara quale mandataria di un raggruppamento temporaneo di imprese e che le altre imprese aderenti al raggruppamento non sono assoggettate ad una procedura concorsuale ai sensi dell’art. 186 </w:t>
      </w:r>
      <w:r>
        <w:rPr>
          <w:rFonts w:ascii="Garamond" w:eastAsia="Garamond" w:hAnsi="Garamond" w:cs="Garamond"/>
          <w:i/>
          <w:iCs/>
          <w:color w:val="000000"/>
          <w:sz w:val="23"/>
          <w:szCs w:val="23"/>
        </w:rPr>
        <w:t xml:space="preserve">bis, 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comma 6 del R.D. 16 marzo 1942, n. 267: ________. </w:t>
      </w:r>
    </w:p>
    <w:p w:rsidR="00967FC7" w:rsidRDefault="00967FC7">
      <w:pPr>
        <w:spacing w:line="300" w:lineRule="auto"/>
        <w:ind w:left="6"/>
        <w:jc w:val="both"/>
        <w:rPr>
          <w:rFonts w:ascii="Garamond" w:hAnsi="Garamond" w:cs="Times New Roman"/>
          <w:color w:val="000000"/>
          <w:sz w:val="23"/>
          <w:szCs w:val="23"/>
        </w:rPr>
      </w:pPr>
    </w:p>
    <w:p w:rsidR="00967FC7" w:rsidRDefault="00967FC7">
      <w:pPr>
        <w:spacing w:line="100" w:lineRule="atLeast"/>
        <w:jc w:val="both"/>
        <w:rPr>
          <w:rFonts w:ascii="Garamond" w:hAnsi="Garamond" w:cs="Times New Roman"/>
          <w:color w:val="000000"/>
          <w:sz w:val="23"/>
          <w:szCs w:val="23"/>
        </w:rPr>
      </w:pPr>
    </w:p>
    <w:p w:rsidR="00967FC7" w:rsidRDefault="006954B4">
      <w:pPr>
        <w:ind w:right="4"/>
        <w:jc w:val="both"/>
      </w:pPr>
      <w:r>
        <w:rPr>
          <w:rFonts w:ascii="Garamond" w:eastAsia="Garamond" w:hAnsi="Garamond" w:cs="Garamond"/>
          <w:sz w:val="23"/>
          <w:szCs w:val="23"/>
        </w:rPr>
        <w:t xml:space="preserve">     </w:t>
      </w:r>
      <w:r>
        <w:rPr>
          <w:rFonts w:ascii="Garamond" w:hAnsi="Garamond" w:cs="Garamond"/>
          <w:sz w:val="23"/>
          <w:szCs w:val="23"/>
        </w:rPr>
        <w:t>___________, li ________</w:t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sz w:val="23"/>
          <w:szCs w:val="23"/>
        </w:rPr>
        <w:tab/>
      </w:r>
      <w:r>
        <w:rPr>
          <w:rFonts w:ascii="Garamond" w:hAnsi="Garamond" w:cs="Garamond"/>
          <w:i/>
          <w:iCs/>
          <w:sz w:val="23"/>
          <w:szCs w:val="23"/>
        </w:rPr>
        <w:t>firma del legale rappresentante</w:t>
      </w:r>
    </w:p>
    <w:p w:rsidR="00967FC7" w:rsidRDefault="00967FC7"/>
    <w:sectPr w:rsidR="00967F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07" w:bottom="1276" w:left="993" w:header="851" w:footer="99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D3" w:rsidRDefault="008262D3">
      <w:r>
        <w:separator/>
      </w:r>
    </w:p>
  </w:endnote>
  <w:endnote w:type="continuationSeparator" w:id="0">
    <w:p w:rsidR="008262D3" w:rsidRDefault="0082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C7" w:rsidRDefault="00967FC7">
    <w:pPr>
      <w:pStyle w:val="Pidipagina"/>
      <w:jc w:val="center"/>
      <w:rPr>
        <w:rFonts w:ascii="Titillium Web" w:hAnsi="Titillium Web"/>
      </w:rPr>
    </w:pPr>
  </w:p>
  <w:p w:rsidR="00967FC7" w:rsidRDefault="006954B4">
    <w:pPr>
      <w:tabs>
        <w:tab w:val="center" w:pos="4819"/>
        <w:tab w:val="right" w:pos="9638"/>
      </w:tabs>
      <w:jc w:val="center"/>
      <w:rPr>
        <w:rFonts w:ascii="Titillium Web" w:hAnsi="Titillium Web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10208895</wp:posOffset>
              </wp:positionV>
              <wp:extent cx="6409055" cy="1905"/>
              <wp:effectExtent l="33020" t="29210" r="36195" b="2794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360" cy="0"/>
                      </a:xfrm>
                      <a:prstGeom prst="line">
                        <a:avLst/>
                      </a:prstGeom>
                      <a:ln w="54000">
                        <a:solidFill>
                          <a:srgbClr val="00AEE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A02FC" id="Line 1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803.85pt" to="554.3pt,8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" strokecolor="#00aeef" strokeweight="1.5mm">
              <w10:wrap anchorx="page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C7" w:rsidRDefault="006954B4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10155555</wp:posOffset>
              </wp:positionV>
              <wp:extent cx="6409055" cy="1905"/>
              <wp:effectExtent l="0" t="19050" r="50165" b="38100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360" cy="0"/>
                      </a:xfrm>
                      <a:prstGeom prst="line">
                        <a:avLst/>
                      </a:prstGeom>
                      <a:ln w="54000">
                        <a:solidFill>
                          <a:srgbClr val="00AEE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87D81" id="Line 1" o:spid="_x0000_s1026" style="position:absolute;z-index:-50331647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99.65pt" to="504.65pt,7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" strokecolor="#00aeef" strokeweight="1.5mm">
              <w10:wrap anchorx="margin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D3" w:rsidRDefault="008262D3">
      <w:r>
        <w:separator/>
      </w:r>
    </w:p>
  </w:footnote>
  <w:footnote w:type="continuationSeparator" w:id="0">
    <w:p w:rsidR="008262D3" w:rsidRDefault="0082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C7" w:rsidRDefault="00967FC7">
    <w:pPr>
      <w:rPr>
        <w:sz w:val="2"/>
        <w:szCs w:val="2"/>
      </w:rPr>
    </w:pPr>
  </w:p>
  <w:p w:rsidR="00967FC7" w:rsidRDefault="00967FC7">
    <w:pPr>
      <w:pStyle w:val="Intestazione"/>
      <w:rPr>
        <w:lang w:eastAsia="it-IT"/>
      </w:rPr>
    </w:pPr>
  </w:p>
  <w:p w:rsidR="00967FC7" w:rsidRDefault="00967FC7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967FC7" w:rsidRDefault="00967FC7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967FC7" w:rsidRDefault="00967FC7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967FC7" w:rsidRDefault="00967FC7">
    <w:pPr>
      <w:pStyle w:val="Nessunaspaziatura"/>
      <w:spacing w:line="276" w:lineRule="auto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C7" w:rsidRDefault="006954B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67425" cy="561975"/>
          <wp:effectExtent l="0" t="0" r="0" b="0"/>
          <wp:docPr id="1" name="Immagine 2" descr="Z:\COMUNICAZIONE\LOGHI\Logo PON\Loghi\LOGHI PON INCLUSIONE\logo firma PON Inclu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Z:\COMUNICAZIONE\LOGHI\Logo PON\Loghi\LOGHI PON INCLUSIONE\logo firma PON Inclusi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7FC7" w:rsidRDefault="00967FC7">
    <w:pPr>
      <w:pStyle w:val="Intestazione"/>
    </w:pPr>
  </w:p>
  <w:p w:rsidR="00967FC7" w:rsidRDefault="00967FC7">
    <w:pPr>
      <w:pStyle w:val="Intestazione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C7"/>
    <w:rsid w:val="00471A5F"/>
    <w:rsid w:val="00475035"/>
    <w:rsid w:val="00494632"/>
    <w:rsid w:val="00693433"/>
    <w:rsid w:val="006954B4"/>
    <w:rsid w:val="008262D3"/>
    <w:rsid w:val="00967FC7"/>
    <w:rsid w:val="009E4A17"/>
    <w:rsid w:val="00D239D1"/>
    <w:rsid w:val="00D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CC42"/>
  <w15:docId w15:val="{A9D65036-A1E3-438D-8DB3-E002D07D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sz w:val="22"/>
      <w:lang w:val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tillium-Light" w:eastAsia="Titillium-Light" w:hAnsi="Titillium-Light" w:cs="Titillium-Ligh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tillium-Light" w:eastAsia="Titillium-Light" w:hAnsi="Titillium-Light" w:cs="Titillium-Light"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Pr>
      <w:rFonts w:ascii="Titillium-Light" w:eastAsia="Titillium-Light" w:hAnsi="Titillium-Light" w:cs="Titillium-Light"/>
      <w:lang w:val="it-IT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tillium-Light" w:hAnsi="Segoe UI" w:cs="Segoe UI"/>
      <w:sz w:val="18"/>
      <w:szCs w:val="18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Pr>
      <w:rFonts w:ascii="Calibri" w:eastAsia="Calibri" w:hAnsi="Calibri" w:cs="Times New Roman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qFormat/>
    <w:rPr>
      <w:rFonts w:ascii="Calibri Light" w:eastAsia="Times New Roman" w:hAnsi="Calibri Light" w:cs="Times New Roman"/>
      <w:b/>
      <w:bCs/>
      <w:kern w:val="2"/>
      <w:sz w:val="32"/>
      <w:szCs w:val="32"/>
      <w:lang w:val="en-GB"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Titillium-Light" w:cs="Tahom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  <w:b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Symbol"/>
      <w:sz w:val="24"/>
    </w:rPr>
  </w:style>
  <w:style w:type="character" w:customStyle="1" w:styleId="ListLabel39">
    <w:name w:val="ListLabel 39"/>
    <w:qFormat/>
    <w:rPr>
      <w:rFonts w:cs="Symbol"/>
      <w:sz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  <w:sz w:val="24"/>
    </w:rPr>
  </w:style>
  <w:style w:type="character" w:customStyle="1" w:styleId="ListLabel42">
    <w:name w:val="ListLabel 42"/>
    <w:qFormat/>
    <w:rPr>
      <w:b/>
      <w:sz w:val="24"/>
    </w:rPr>
  </w:style>
  <w:style w:type="paragraph" w:styleId="Titolo">
    <w:name w:val="Title"/>
    <w:basedOn w:val="Normale"/>
    <w:next w:val="Corpotesto"/>
    <w:link w:val="TitoloCarattere"/>
    <w:qFormat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val="en-GB" w:eastAsia="it-IT"/>
    </w:r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nhideWhenUsed/>
    <w:qFormat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qFormat/>
    <w:pPr>
      <w:suppressAutoHyphens/>
      <w:spacing w:line="100" w:lineRule="atLeast"/>
      <w:ind w:left="720"/>
    </w:pPr>
    <w:rPr>
      <w:rFonts w:ascii="Century Gothic" w:eastAsia="Times New Roman" w:hAnsi="Century Gothic" w:cs="Century Gothic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Pr>
      <w:rFonts w:ascii="Titillium-Light" w:eastAsia="Titillium-Light" w:hAnsi="Titillium-Light" w:cs="Titillium-Light"/>
      <w:sz w:val="22"/>
      <w:lang w:val="it-IT"/>
    </w:rPr>
  </w:style>
  <w:style w:type="paragraph" w:styleId="Rientrocorpodeltesto">
    <w:name w:val="Body Text Indent"/>
    <w:basedOn w:val="Normale"/>
    <w:link w:val="RientrocorpodeltestoCarattere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</w:style>
  <w:style w:type="paragraph" w:styleId="Sottotitolo">
    <w:name w:val="Subtitle"/>
    <w:basedOn w:val="Normale"/>
    <w:next w:val="Normale"/>
    <w:link w:val="SottotitoloCarattere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rpotesto1">
    <w:name w:val="Corpo testo1"/>
    <w:basedOn w:val="Normale"/>
    <w:uiPriority w:val="99"/>
    <w:qFormat/>
    <w:pPr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rFonts w:ascii="Calibri" w:eastAsia="Calibri" w:hAnsi="Calibri" w:cs="Times New Roman"/>
      <w:sz w:val="20"/>
      <w:szCs w:val="20"/>
    </w:rPr>
  </w:style>
  <w:style w:type="paragraph" w:customStyle="1" w:styleId="sche3">
    <w:name w:val="sche_3"/>
    <w:qFormat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CB510-6B5A-489F-B772-1BBE5E0E9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683F7-E3D8-4940-B075-6F74164149EE}"/>
</file>

<file path=customXml/itemProps3.xml><?xml version="1.0" encoding="utf-8"?>
<ds:datastoreItem xmlns:ds="http://schemas.openxmlformats.org/officeDocument/2006/customXml" ds:itemID="{77BBBD16-3FCF-45CB-BD05-41340F3A3997}"/>
</file>

<file path=customXml/itemProps4.xml><?xml version="1.0" encoding="utf-8"?>
<ds:datastoreItem xmlns:ds="http://schemas.openxmlformats.org/officeDocument/2006/customXml" ds:itemID="{746C569E-EAB9-42C6-BB55-CEC895F83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schema dichiarazione integrativa bando di gara Pon Inclusione 2014 2020</dc:title>
  <dc:subject/>
  <dc:creator>Farlese Giuseppe</dc:creator>
  <dc:description/>
  <cp:lastModifiedBy>Venditti Vera</cp:lastModifiedBy>
  <cp:revision>5</cp:revision>
  <cp:lastPrinted>2019-07-11T09:26:00Z</cp:lastPrinted>
  <dcterms:created xsi:type="dcterms:W3CDTF">2019-09-06T08:24:00Z</dcterms:created>
  <dcterms:modified xsi:type="dcterms:W3CDTF">2019-09-06T08:25:00Z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2016-10-24T00:00:00Z</vt:filetime>
  </property>
  <property fmtid="{D5CDD505-2E9C-101B-9397-08002B2CF9AE}" pid="4" name="Creator">
    <vt:lpwstr>Adobe InDesign CC 2015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2016-10-24T00:00:00Z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0x0101006A1332C9025539449A91A8BE5002B265003F6F7AB4B5F8FB43A432D17519CBF20E</vt:lpwstr>
  </property>
  <property fmtid="{D5CDD505-2E9C-101B-9397-08002B2CF9AE}" pid="12" name="Order">
    <vt:r8>797700</vt:r8>
  </property>
  <property fmtid="{D5CDD505-2E9C-101B-9397-08002B2CF9AE}" pid="13" name="TemplateUr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