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59" w:rsidRDefault="004A1959" w:rsidP="00D61EE2">
      <w:pPr>
        <w:ind w:left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Nelle pagine degli uffici territoriali inserire</w:t>
      </w:r>
    </w:p>
    <w:p w:rsidR="004A1959" w:rsidRDefault="00C2002B" w:rsidP="00D61EE2">
      <w:pPr>
        <w:ind w:left="0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w:drawing>
          <wp:inline distT="0" distB="0" distL="0" distR="0">
            <wp:extent cx="2447925" cy="885825"/>
            <wp:effectExtent l="19050" t="0" r="9525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959" w:rsidRDefault="004A1959" w:rsidP="00D61EE2">
      <w:pPr>
        <w:ind w:left="0"/>
        <w:rPr>
          <w:color w:val="FF0000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</w:t>
      </w:r>
      <w:r w:rsidRPr="004A1959">
        <w:rPr>
          <w:color w:val="FF0000"/>
          <w:sz w:val="24"/>
          <w:szCs w:val="24"/>
          <w:lang w:val="it-IT"/>
        </w:rPr>
        <w:t xml:space="preserve"> Trasparenza</w:t>
      </w:r>
      <w:r>
        <w:rPr>
          <w:color w:val="FF0000"/>
          <w:sz w:val="24"/>
          <w:szCs w:val="24"/>
          <w:lang w:val="it-IT"/>
        </w:rPr>
        <w:t>_</w:t>
      </w:r>
      <w:r w:rsidRPr="004A1959">
        <w:rPr>
          <w:color w:val="FF0000"/>
          <w:sz w:val="24"/>
          <w:szCs w:val="24"/>
          <w:lang w:val="it-IT"/>
        </w:rPr>
        <w:t xml:space="preserve"> pubblicità</w:t>
      </w:r>
    </w:p>
    <w:p w:rsidR="004A1959" w:rsidRDefault="004A1959" w:rsidP="00D61EE2">
      <w:pPr>
        <w:ind w:left="0"/>
        <w:rPr>
          <w:color w:val="auto"/>
          <w:sz w:val="24"/>
          <w:szCs w:val="24"/>
          <w:lang w:val="it-IT"/>
        </w:rPr>
      </w:pPr>
      <w:r>
        <w:rPr>
          <w:color w:val="auto"/>
          <w:sz w:val="24"/>
          <w:szCs w:val="24"/>
          <w:lang w:val="it-IT"/>
        </w:rPr>
        <w:t xml:space="preserve">Cliccando si apre a nuova pagina ( nel nostro caso iniziamo a inserire questo materiale, ma </w:t>
      </w:r>
      <w:r w:rsidR="004F14BD">
        <w:rPr>
          <w:color w:val="auto"/>
          <w:sz w:val="24"/>
          <w:szCs w:val="24"/>
          <w:lang w:val="it-IT"/>
        </w:rPr>
        <w:t>le schede dei procedimenti amministrativi verranno ulteriormente incrementate dalle varie U.O.)</w:t>
      </w:r>
    </w:p>
    <w:p w:rsidR="004A1959" w:rsidRDefault="004A1959" w:rsidP="00D61EE2">
      <w:pPr>
        <w:ind w:left="0"/>
        <w:rPr>
          <w:color w:val="auto"/>
          <w:sz w:val="24"/>
          <w:szCs w:val="24"/>
          <w:lang w:val="it-IT"/>
        </w:rPr>
      </w:pPr>
    </w:p>
    <w:p w:rsidR="004A1959" w:rsidRDefault="004A1959" w:rsidP="004A1959">
      <w:pPr>
        <w:ind w:left="0"/>
        <w:jc w:val="center"/>
        <w:rPr>
          <w:color w:val="auto"/>
          <w:sz w:val="28"/>
          <w:szCs w:val="28"/>
          <w:lang w:val="it-IT"/>
        </w:rPr>
      </w:pPr>
      <w:r w:rsidRPr="004A1959">
        <w:rPr>
          <w:color w:val="auto"/>
          <w:sz w:val="28"/>
          <w:szCs w:val="28"/>
          <w:highlight w:val="blue"/>
          <w:lang w:val="it-IT"/>
        </w:rPr>
        <w:t>TRASPARENZA -  PUBBLICITA’</w:t>
      </w:r>
    </w:p>
    <w:p w:rsidR="004A1959" w:rsidRDefault="004A1959" w:rsidP="004A1959">
      <w:pPr>
        <w:ind w:left="0"/>
        <w:rPr>
          <w:color w:val="auto"/>
          <w:sz w:val="28"/>
          <w:szCs w:val="28"/>
          <w:lang w:val="it-IT"/>
        </w:rPr>
      </w:pPr>
    </w:p>
    <w:p w:rsidR="004A1959" w:rsidRDefault="004F14BD" w:rsidP="004A1959">
      <w:pPr>
        <w:ind w:left="0"/>
        <w:rPr>
          <w:color w:val="auto"/>
          <w:sz w:val="28"/>
          <w:szCs w:val="28"/>
          <w:lang w:val="it-IT"/>
        </w:rPr>
      </w:pPr>
      <w:r>
        <w:rPr>
          <w:color w:val="auto"/>
          <w:sz w:val="28"/>
          <w:szCs w:val="28"/>
          <w:lang w:val="it-IT"/>
        </w:rPr>
        <w:t>Servizi della DTL</w:t>
      </w:r>
      <w:r w:rsidR="00420D5D">
        <w:rPr>
          <w:color w:val="auto"/>
          <w:sz w:val="28"/>
          <w:szCs w:val="28"/>
          <w:lang w:val="it-IT"/>
        </w:rPr>
        <w:t xml:space="preserve"> di Cuneo  (link all’opuscolo a  - nella cartella “materiale”)</w:t>
      </w:r>
    </w:p>
    <w:p w:rsidR="00420D5D" w:rsidRDefault="004F14BD" w:rsidP="00420D5D">
      <w:pPr>
        <w:ind w:left="0"/>
        <w:rPr>
          <w:color w:val="auto"/>
          <w:sz w:val="28"/>
          <w:szCs w:val="28"/>
          <w:lang w:val="it-IT"/>
        </w:rPr>
      </w:pPr>
      <w:r>
        <w:rPr>
          <w:color w:val="auto"/>
          <w:sz w:val="28"/>
          <w:szCs w:val="28"/>
          <w:lang w:val="it-IT"/>
        </w:rPr>
        <w:t>Tutela della maternità   (link all’opuscolo b</w:t>
      </w:r>
      <w:r w:rsidR="00420D5D">
        <w:rPr>
          <w:color w:val="auto"/>
          <w:sz w:val="28"/>
          <w:szCs w:val="28"/>
          <w:lang w:val="it-IT"/>
        </w:rPr>
        <w:t xml:space="preserve">   -  nella cartella “materiale”)</w:t>
      </w:r>
    </w:p>
    <w:p w:rsidR="00420D5D" w:rsidRDefault="004F14BD" w:rsidP="00420D5D">
      <w:pPr>
        <w:ind w:left="0"/>
        <w:rPr>
          <w:color w:val="auto"/>
          <w:sz w:val="28"/>
          <w:szCs w:val="28"/>
          <w:lang w:val="it-IT"/>
        </w:rPr>
      </w:pPr>
      <w:r>
        <w:rPr>
          <w:color w:val="auto"/>
          <w:sz w:val="28"/>
          <w:szCs w:val="28"/>
          <w:lang w:val="it-IT"/>
        </w:rPr>
        <w:t xml:space="preserve">Guida ai servizi delle Politiche del </w:t>
      </w:r>
      <w:r w:rsidR="00420D5D">
        <w:rPr>
          <w:color w:val="auto"/>
          <w:sz w:val="28"/>
          <w:szCs w:val="28"/>
          <w:lang w:val="it-IT"/>
        </w:rPr>
        <w:t>lavoro  (link che apre la guida  -nella cartella “materiale”)</w:t>
      </w:r>
    </w:p>
    <w:p w:rsidR="004F14BD" w:rsidRDefault="004F14BD" w:rsidP="004A1959">
      <w:pPr>
        <w:ind w:left="0"/>
        <w:rPr>
          <w:color w:val="auto"/>
          <w:sz w:val="28"/>
          <w:szCs w:val="28"/>
          <w:lang w:val="it-IT"/>
        </w:rPr>
      </w:pPr>
      <w:r>
        <w:rPr>
          <w:color w:val="auto"/>
          <w:sz w:val="28"/>
          <w:szCs w:val="28"/>
          <w:lang w:val="it-IT"/>
        </w:rPr>
        <w:t>Procedimenti Amministrativi (link a nuova pagina</w:t>
      </w:r>
      <w:r w:rsidR="002D7F16">
        <w:rPr>
          <w:color w:val="auto"/>
          <w:sz w:val="28"/>
          <w:szCs w:val="28"/>
          <w:lang w:val="it-IT"/>
        </w:rPr>
        <w:t xml:space="preserve"> Proc.</w:t>
      </w:r>
      <w:r>
        <w:rPr>
          <w:color w:val="auto"/>
          <w:sz w:val="28"/>
          <w:szCs w:val="28"/>
          <w:lang w:val="it-IT"/>
        </w:rPr>
        <w:t>)</w:t>
      </w:r>
    </w:p>
    <w:p w:rsidR="004F14BD" w:rsidRDefault="004F14BD" w:rsidP="004A1959">
      <w:pPr>
        <w:ind w:left="0"/>
        <w:rPr>
          <w:color w:val="auto"/>
          <w:sz w:val="28"/>
          <w:szCs w:val="28"/>
          <w:lang w:val="it-IT"/>
        </w:rPr>
      </w:pPr>
    </w:p>
    <w:p w:rsidR="004F14BD" w:rsidRPr="004A1959" w:rsidRDefault="004F14BD" w:rsidP="004A1959">
      <w:pPr>
        <w:ind w:left="0"/>
        <w:rPr>
          <w:color w:val="auto"/>
          <w:sz w:val="28"/>
          <w:szCs w:val="28"/>
          <w:lang w:val="it-IT"/>
        </w:rPr>
      </w:pPr>
      <w:r>
        <w:rPr>
          <w:color w:val="auto"/>
          <w:sz w:val="28"/>
          <w:szCs w:val="28"/>
          <w:lang w:val="it-IT"/>
        </w:rPr>
        <w:t>___________________________________________________________________________________-</w:t>
      </w:r>
    </w:p>
    <w:p w:rsidR="004A1959" w:rsidRDefault="004A1959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EB49B6" w:rsidRDefault="00EB49B6" w:rsidP="00D61EE2">
      <w:pPr>
        <w:ind w:left="0"/>
        <w:rPr>
          <w:sz w:val="24"/>
          <w:szCs w:val="24"/>
          <w:lang w:val="it-IT"/>
        </w:rPr>
      </w:pPr>
    </w:p>
    <w:p w:rsidR="004F14BD" w:rsidRDefault="00C2002B" w:rsidP="004F14BD">
      <w:pPr>
        <w:ind w:left="0"/>
        <w:jc w:val="center"/>
        <w:rPr>
          <w:sz w:val="44"/>
          <w:szCs w:val="44"/>
          <w:lang w:val="it-IT"/>
        </w:rPr>
      </w:pPr>
      <w:r>
        <w:rPr>
          <w:sz w:val="44"/>
          <w:szCs w:val="44"/>
          <w:lang w:val="it-IT"/>
        </w:rPr>
        <w:lastRenderedPageBreak/>
        <w:t>Procedimenti amministrativi</w:t>
      </w:r>
    </w:p>
    <w:p w:rsidR="004F14BD" w:rsidRDefault="004F14BD" w:rsidP="004F14BD">
      <w:pPr>
        <w:ind w:left="0"/>
        <w:rPr>
          <w:b/>
          <w:sz w:val="24"/>
          <w:szCs w:val="24"/>
          <w:lang w:val="it-IT"/>
        </w:rPr>
      </w:pPr>
      <w:r w:rsidRPr="004F14BD">
        <w:rPr>
          <w:b/>
          <w:sz w:val="24"/>
          <w:szCs w:val="24"/>
          <w:lang w:val="it-IT"/>
        </w:rPr>
        <w:t>U.O. Affari Legali e Contenzioso</w:t>
      </w:r>
    </w:p>
    <w:p w:rsidR="00C2002B" w:rsidRDefault="004F14BD" w:rsidP="00C2002B">
      <w:pPr>
        <w:shd w:val="clear" w:color="auto" w:fill="FFFFFF"/>
        <w:spacing w:after="0" w:line="240" w:lineRule="auto"/>
        <w:ind w:left="147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hyperlink r:id="rId8" w:history="1">
        <w:proofErr w:type="spellStart"/>
        <w:r w:rsidR="00917649" w:rsidRPr="00BB0FE1">
          <w:rPr>
            <w:rStyle w:val="Collegamentoipertestuale"/>
            <w:rFonts w:ascii="Verdana" w:eastAsia="Times New Roman" w:hAnsi="Verdana" w:cs="Segoe UI"/>
            <w:sz w:val="18"/>
            <w:szCs w:val="18"/>
            <w:lang w:val="it-IT" w:eastAsia="it-IT" w:bidi="ar-SA"/>
          </w:rPr>
          <w:t>pro</w:t>
        </w:r>
        <w:r w:rsidR="00E32C3C" w:rsidRPr="00BB0FE1">
          <w:rPr>
            <w:rStyle w:val="Collegamentoipertestuale"/>
            <w:rFonts w:ascii="Verdana" w:eastAsia="Times New Roman" w:hAnsi="Verdana" w:cs="Segoe UI"/>
            <w:sz w:val="18"/>
            <w:szCs w:val="18"/>
            <w:lang w:val="it-IT" w:eastAsia="it-IT" w:bidi="ar-SA"/>
          </w:rPr>
          <w:t>c</w:t>
        </w:r>
        <w:proofErr w:type="spellEnd"/>
        <w:r w:rsidR="00917649" w:rsidRPr="00BB0FE1">
          <w:rPr>
            <w:rStyle w:val="Collegamentoipertestuale"/>
            <w:rFonts w:ascii="Verdana" w:eastAsia="Times New Roman" w:hAnsi="Verdana" w:cs="Segoe UI"/>
            <w:sz w:val="18"/>
            <w:szCs w:val="18"/>
            <w:lang w:val="it-IT" w:eastAsia="it-IT" w:bidi="ar-SA"/>
          </w:rPr>
          <w:t xml:space="preserve"> 1</w:t>
        </w:r>
      </w:hyperlink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emissione ordinanza di ingiunzione o di archiviazione (</w:t>
      </w:r>
      <w:hyperlink r:id="rId9" w:tooltip="collegamento a un documento .pdf 199,37 Kb" w:history="1">
        <w:r w:rsidR="00BB5A60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formato .pdf 114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         </w:t>
      </w:r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              </w:t>
      </w:r>
    </w:p>
    <w:p w:rsidR="00C2002B" w:rsidRDefault="004F14BD" w:rsidP="00C2002B">
      <w:pPr>
        <w:shd w:val="clear" w:color="auto" w:fill="FFFFFF"/>
        <w:spacing w:after="0" w:line="240" w:lineRule="auto"/>
        <w:ind w:left="147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</w:t>
      </w:r>
      <w:r w:rsidR="00E32C3C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c</w:t>
      </w:r>
      <w:proofErr w:type="spellEnd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2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richiesta dilazione pagamento di ordinanza di ingiunzione (</w:t>
      </w:r>
      <w:hyperlink r:id="rId10" w:tooltip="collegamento a un documento .pdf 199,37 Kb" w:history="1"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formato .pdf 65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                         </w:t>
      </w:r>
    </w:p>
    <w:p w:rsidR="00C2002B" w:rsidRDefault="004F14BD" w:rsidP="00C2002B">
      <w:pPr>
        <w:shd w:val="clear" w:color="auto" w:fill="FFFFFF"/>
        <w:spacing w:after="0" w:line="240" w:lineRule="auto"/>
        <w:ind w:left="147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</w:t>
      </w:r>
      <w:r w:rsidR="00E32C3C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c</w:t>
      </w:r>
      <w:proofErr w:type="spellEnd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3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richiesta sgravio amministrativo ordinanza ingiunzione iscritta a ruolo esattoriale (</w:t>
      </w:r>
      <w:hyperlink r:id="rId11" w:tooltip="collegamento a un documento .pdf 199,37 Kb" w:history="1"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formato .pdf 59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                                                                                                                                               • </w:t>
      </w:r>
      <w:proofErr w:type="spellStart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</w:t>
      </w:r>
      <w:r w:rsidR="00E32C3C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c</w:t>
      </w:r>
      <w:proofErr w:type="spellEnd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4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r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ichiesta rimborso spese legali in caso soccombenza DTL (</w:t>
      </w:r>
      <w:hyperlink r:id="rId12" w:tooltip="collegamento a un documento .pdf 199,37 Kb" w:history="1"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formato .pdf 106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    </w:t>
      </w:r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              </w:t>
      </w:r>
    </w:p>
    <w:p w:rsidR="00C2002B" w:rsidRDefault="004F14BD" w:rsidP="00C2002B">
      <w:pPr>
        <w:shd w:val="clear" w:color="auto" w:fill="FFFFFF"/>
        <w:spacing w:after="0" w:line="240" w:lineRule="auto"/>
        <w:ind w:left="147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</w:t>
      </w:r>
      <w:r w:rsidR="00E32C3C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c</w:t>
      </w:r>
      <w:proofErr w:type="spellEnd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5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ricorsi avverso diffida per classificazione INAIL (</w:t>
      </w:r>
      <w:hyperlink r:id="rId13" w:tooltip="collegamento a un documento .pdf 199,37 Kb" w:history="1">
        <w:r w:rsidR="00BB5A60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formato .pdf 65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                      </w:t>
      </w:r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            </w:t>
      </w:r>
    </w:p>
    <w:p w:rsidR="004F14BD" w:rsidRDefault="004F14BD" w:rsidP="00C2002B">
      <w:pPr>
        <w:shd w:val="clear" w:color="auto" w:fill="FFFFFF"/>
        <w:spacing w:after="0" w:line="240" w:lineRule="auto"/>
        <w:ind w:left="147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</w:t>
      </w:r>
      <w:r w:rsidR="00E32C3C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c</w:t>
      </w:r>
      <w:proofErr w:type="spellEnd"/>
      <w:r w:rsidR="00917649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6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accesso agli atti relativi all’ U.O. Affari Legali e contenzioso  (</w:t>
      </w:r>
      <w:hyperlink r:id="rId14" w:tooltip="collegamento a un documento .pdf 199,37 Kb" w:history="1">
        <w:r w:rsidR="00BB5A60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formato .pdf  104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)</w:t>
      </w:r>
    </w:p>
    <w:p w:rsidR="00EB49B6" w:rsidRDefault="00EB49B6" w:rsidP="004F14BD">
      <w:pPr>
        <w:shd w:val="clear" w:color="auto" w:fill="FFFFFF"/>
        <w:spacing w:before="100" w:beforeAutospacing="1" w:after="100" w:afterAutospacing="1" w:line="276" w:lineRule="auto"/>
        <w:ind w:left="15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</w:p>
    <w:p w:rsidR="00EB49B6" w:rsidRDefault="00EB49B6" w:rsidP="00EB49B6">
      <w:pPr>
        <w:ind w:left="0"/>
        <w:rPr>
          <w:b/>
          <w:sz w:val="24"/>
          <w:szCs w:val="24"/>
          <w:lang w:val="it-IT"/>
        </w:rPr>
      </w:pPr>
      <w:r w:rsidRPr="004F14BD">
        <w:rPr>
          <w:b/>
          <w:sz w:val="24"/>
          <w:szCs w:val="24"/>
          <w:lang w:val="it-IT"/>
        </w:rPr>
        <w:t xml:space="preserve">U.O. </w:t>
      </w:r>
      <w:r>
        <w:rPr>
          <w:b/>
          <w:sz w:val="24"/>
          <w:szCs w:val="24"/>
          <w:lang w:val="it-IT"/>
        </w:rPr>
        <w:t>Relazioni Sindacali e Conflitti di Lavoro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7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tentativo facoltativo di conciliazione davanti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alla Commissione  di Conciliazione delle controversie individuali e plurime (settore privato e pubblico)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15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143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8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t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entativo obbligatorio di conciliazione davanti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alla Commissione  di Conciliazione ex art. 1 co. 40 legge 92/2012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16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140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9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collegio di conciliazione ed arbitrato art. 7 legge 300/70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17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137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10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certificazione dei contratti di lavoro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18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64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11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conciliazione delle controversie collettive presso la DTL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19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136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12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comitato dei garanti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20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137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13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deposito verbali di conciliazione sottoscritti in sede sindacale ex art. 411cpc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21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61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)  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14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deposito contratti di secondo livello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22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62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)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15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funzioni amministrative in materia di determinazione delle tariffe minime per le operazioni di facchinaggio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23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135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)</w:t>
      </w:r>
    </w:p>
    <w:p w:rsidR="00EB49B6" w:rsidRDefault="00EB49B6" w:rsidP="00EB49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• </w:t>
      </w:r>
      <w:proofErr w:type="spellStart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proc</w:t>
      </w:r>
      <w:proofErr w:type="spellEnd"/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16</w:t>
      </w:r>
      <w:r w:rsidR="00C2002B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 </w:t>
      </w:r>
      <w:r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 xml:space="preserve">accesso agli atti relativi all’U.O. Relazioni sindacali e conflitti di lavoro  </w:t>
      </w:r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(</w:t>
      </w:r>
      <w:hyperlink r:id="rId24" w:tooltip="collegamento a un documento .pdf 199,37 Kb" w:history="1">
        <w:r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formato .pdf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 </w:t>
        </w:r>
        <w:r w:rsidR="00890AC7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 xml:space="preserve">184 </w:t>
        </w:r>
        <w:r w:rsidRPr="004F14BD">
          <w:rPr>
            <w:rFonts w:ascii="Verdana" w:eastAsia="Times New Roman" w:hAnsi="Verdana" w:cs="Segoe UI"/>
            <w:color w:val="auto"/>
            <w:sz w:val="18"/>
            <w:szCs w:val="18"/>
            <w:lang w:val="it-IT" w:eastAsia="it-IT" w:bidi="ar-SA"/>
          </w:rPr>
          <w:t>Kb</w:t>
        </w:r>
      </w:hyperlink>
      <w:r w:rsidRPr="004F14BD"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  <w:t>)</w:t>
      </w:r>
    </w:p>
    <w:p w:rsidR="00EB49B6" w:rsidRDefault="00EB49B6" w:rsidP="00EB49B6">
      <w:pPr>
        <w:ind w:left="0"/>
        <w:rPr>
          <w:b/>
          <w:sz w:val="24"/>
          <w:szCs w:val="24"/>
          <w:lang w:val="it-IT"/>
        </w:rPr>
      </w:pPr>
    </w:p>
    <w:p w:rsidR="00EB49B6" w:rsidRPr="004F14BD" w:rsidRDefault="00EB49B6" w:rsidP="004F14BD">
      <w:pPr>
        <w:shd w:val="clear" w:color="auto" w:fill="FFFFFF"/>
        <w:spacing w:before="100" w:beforeAutospacing="1" w:after="100" w:afterAutospacing="1" w:line="276" w:lineRule="auto"/>
        <w:ind w:left="150"/>
        <w:rPr>
          <w:rFonts w:ascii="Verdana" w:eastAsia="Times New Roman" w:hAnsi="Verdana" w:cs="Segoe UI"/>
          <w:color w:val="auto"/>
          <w:sz w:val="18"/>
          <w:szCs w:val="18"/>
          <w:lang w:val="it-IT" w:eastAsia="it-IT" w:bidi="ar-SA"/>
        </w:rPr>
      </w:pPr>
    </w:p>
    <w:p w:rsidR="004A1959" w:rsidRPr="004A1959" w:rsidRDefault="004A1959" w:rsidP="00D61EE2">
      <w:pPr>
        <w:ind w:left="0"/>
        <w:rPr>
          <w:sz w:val="24"/>
          <w:szCs w:val="24"/>
          <w:lang w:val="it-IT"/>
        </w:rPr>
      </w:pPr>
    </w:p>
    <w:sectPr w:rsidR="004A1959" w:rsidRPr="004A1959" w:rsidSect="00A61E5C">
      <w:pgSz w:w="11906" w:h="16838"/>
      <w:pgMar w:top="141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A1959"/>
    <w:rsid w:val="0000556F"/>
    <w:rsid w:val="000251E3"/>
    <w:rsid w:val="000D515C"/>
    <w:rsid w:val="00151185"/>
    <w:rsid w:val="001B3132"/>
    <w:rsid w:val="002B27AC"/>
    <w:rsid w:val="002D7F16"/>
    <w:rsid w:val="003C12E1"/>
    <w:rsid w:val="00411494"/>
    <w:rsid w:val="00420D5D"/>
    <w:rsid w:val="00455478"/>
    <w:rsid w:val="004A1959"/>
    <w:rsid w:val="004F14BD"/>
    <w:rsid w:val="00535969"/>
    <w:rsid w:val="005F5B06"/>
    <w:rsid w:val="006717AC"/>
    <w:rsid w:val="008759FA"/>
    <w:rsid w:val="00890AC7"/>
    <w:rsid w:val="008B2045"/>
    <w:rsid w:val="00917649"/>
    <w:rsid w:val="00966435"/>
    <w:rsid w:val="00A61E5C"/>
    <w:rsid w:val="00BB0747"/>
    <w:rsid w:val="00BB0FE1"/>
    <w:rsid w:val="00BB5A60"/>
    <w:rsid w:val="00BE7719"/>
    <w:rsid w:val="00C2002B"/>
    <w:rsid w:val="00D30F29"/>
    <w:rsid w:val="00D61EE2"/>
    <w:rsid w:val="00DB744B"/>
    <w:rsid w:val="00E32C3C"/>
    <w:rsid w:val="00EB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744B"/>
    <w:pPr>
      <w:spacing w:after="160" w:line="288" w:lineRule="auto"/>
      <w:ind w:left="2160"/>
    </w:pPr>
    <w:rPr>
      <w:color w:val="5A5A5A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744B"/>
    <w:pPr>
      <w:spacing w:before="400" w:after="60" w:line="240" w:lineRule="auto"/>
      <w:contextualSpacing/>
      <w:outlineLvl w:val="0"/>
    </w:pPr>
    <w:rPr>
      <w:rFonts w:ascii="Calibri" w:eastAsia="Times New Roman" w:hAnsi="Calibri"/>
      <w:smallCaps/>
      <w:color w:val="0F243E"/>
      <w:spacing w:val="2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744B"/>
    <w:pPr>
      <w:spacing w:before="120" w:after="60" w:line="240" w:lineRule="auto"/>
      <w:contextualSpacing/>
      <w:outlineLvl w:val="1"/>
    </w:pPr>
    <w:rPr>
      <w:rFonts w:ascii="Calibri" w:eastAsia="Times New Roman" w:hAnsi="Calibri"/>
      <w:smallCaps/>
      <w:color w:val="17365D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744B"/>
    <w:pPr>
      <w:spacing w:before="120" w:after="60" w:line="240" w:lineRule="auto"/>
      <w:contextualSpacing/>
      <w:outlineLvl w:val="2"/>
    </w:pPr>
    <w:rPr>
      <w:rFonts w:ascii="Calibri" w:eastAsia="Times New Roman" w:hAnsi="Calibri"/>
      <w:smallCaps/>
      <w:color w:val="1F497D"/>
      <w:spacing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744B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libri" w:eastAsia="Times New Roman" w:hAnsi="Calibri"/>
      <w:b/>
      <w:bCs/>
      <w:smallCaps/>
      <w:color w:val="3071C3"/>
      <w:spacing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744B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libri" w:eastAsia="Times New Roman" w:hAnsi="Calibri"/>
      <w:smallCaps/>
      <w:color w:val="3071C3"/>
      <w:spacing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744B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libri" w:eastAsia="Times New Roman" w:hAnsi="Calibri"/>
      <w:smallCaps/>
      <w:color w:val="938953"/>
      <w:spacing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744B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libri" w:eastAsia="Times New Roman" w:hAnsi="Calibri"/>
      <w:b/>
      <w:bCs/>
      <w:smallCaps/>
      <w:color w:val="938953"/>
      <w:spacing w:val="20"/>
      <w:sz w:val="16"/>
      <w:szCs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744B"/>
    <w:pPr>
      <w:spacing w:before="200" w:after="60" w:line="240" w:lineRule="auto"/>
      <w:contextualSpacing/>
      <w:outlineLvl w:val="7"/>
    </w:pPr>
    <w:rPr>
      <w:rFonts w:ascii="Calibri" w:eastAsia="Times New Roman" w:hAnsi="Calibri"/>
      <w:b/>
      <w:smallCaps/>
      <w:color w:val="938953"/>
      <w:spacing w:val="20"/>
      <w:sz w:val="16"/>
      <w:szCs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744B"/>
    <w:pPr>
      <w:spacing w:before="200" w:after="60" w:line="240" w:lineRule="auto"/>
      <w:contextualSpacing/>
      <w:outlineLvl w:val="8"/>
    </w:pPr>
    <w:rPr>
      <w:rFonts w:ascii="Calibri" w:eastAsia="Times New Roman" w:hAnsi="Calibri"/>
      <w:smallCaps/>
      <w:color w:val="938953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744B"/>
    <w:rPr>
      <w:rFonts w:ascii="Calibri" w:eastAsia="Times New Roman" w:hAnsi="Calibri" w:cs="Times New Roman"/>
      <w:smallCaps/>
      <w:color w:val="0F243E"/>
      <w:spacing w:val="2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744B"/>
    <w:rPr>
      <w:rFonts w:ascii="Calibri" w:eastAsia="Times New Roman" w:hAnsi="Calibri" w:cs="Times New Roman"/>
      <w:smallCaps/>
      <w:color w:val="17365D"/>
      <w:spacing w:val="2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744B"/>
    <w:rPr>
      <w:rFonts w:ascii="Calibri" w:eastAsia="Times New Roman" w:hAnsi="Calibri" w:cs="Times New Roman"/>
      <w:smallCaps/>
      <w:color w:val="1F497D"/>
      <w:spacing w:val="2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744B"/>
    <w:rPr>
      <w:rFonts w:ascii="Calibri" w:eastAsia="Times New Roman" w:hAnsi="Calibri" w:cs="Times New Roman"/>
      <w:b/>
      <w:bCs/>
      <w:smallCaps/>
      <w:color w:val="3071C3"/>
      <w:spacing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744B"/>
    <w:rPr>
      <w:rFonts w:ascii="Calibri" w:eastAsia="Times New Roman" w:hAnsi="Calibri" w:cs="Times New Roman"/>
      <w:smallCaps/>
      <w:color w:val="3071C3"/>
      <w:spacing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744B"/>
    <w:rPr>
      <w:rFonts w:ascii="Calibri" w:eastAsia="Times New Roman" w:hAnsi="Calibri" w:cs="Times New Roman"/>
      <w:smallCaps/>
      <w:color w:val="938953"/>
      <w:spacing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744B"/>
    <w:rPr>
      <w:rFonts w:ascii="Calibri" w:eastAsia="Times New Roman" w:hAnsi="Calibri" w:cs="Times New Roman"/>
      <w:b/>
      <w:bCs/>
      <w:smallCaps/>
      <w:color w:val="938953"/>
      <w:spacing w:val="20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744B"/>
    <w:rPr>
      <w:rFonts w:ascii="Calibri" w:eastAsia="Times New Roman" w:hAnsi="Calibri" w:cs="Times New Roman"/>
      <w:b/>
      <w:smallCaps/>
      <w:color w:val="938953"/>
      <w:spacing w:val="20"/>
      <w:sz w:val="16"/>
      <w:szCs w:val="1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744B"/>
    <w:rPr>
      <w:rFonts w:ascii="Calibri" w:eastAsia="Times New Roman" w:hAnsi="Calibri" w:cs="Times New Roman"/>
      <w:smallCaps/>
      <w:color w:val="938953"/>
      <w:spacing w:val="20"/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B744B"/>
    <w:rPr>
      <w:b/>
      <w:bCs/>
      <w:smallCaps/>
      <w:color w:val="1F497D"/>
      <w:spacing w:val="10"/>
      <w:sz w:val="18"/>
      <w:szCs w:val="18"/>
    </w:rPr>
  </w:style>
  <w:style w:type="paragraph" w:styleId="Titolo">
    <w:name w:val="Title"/>
    <w:next w:val="Normale"/>
    <w:link w:val="TitoloCarattere"/>
    <w:uiPriority w:val="10"/>
    <w:qFormat/>
    <w:rsid w:val="00DB744B"/>
    <w:pPr>
      <w:spacing w:after="160"/>
      <w:contextualSpacing/>
    </w:pPr>
    <w:rPr>
      <w:rFonts w:ascii="Calibri" w:eastAsia="Times New Roman" w:hAnsi="Calibri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DB744B"/>
    <w:rPr>
      <w:rFonts w:ascii="Calibri" w:eastAsia="Times New Roman" w:hAnsi="Calibri"/>
      <w:smallCaps/>
      <w:color w:val="17365D"/>
      <w:spacing w:val="5"/>
      <w:sz w:val="72"/>
      <w:szCs w:val="72"/>
      <w:lang w:val="en-US" w:eastAsia="en-US" w:bidi="en-US"/>
    </w:rPr>
  </w:style>
  <w:style w:type="paragraph" w:styleId="Sottotitolo">
    <w:name w:val="Subtitle"/>
    <w:next w:val="Normale"/>
    <w:link w:val="SottotitoloCarattere"/>
    <w:uiPriority w:val="11"/>
    <w:qFormat/>
    <w:rsid w:val="00DB744B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744B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Enfasigrassetto">
    <w:name w:val="Strong"/>
    <w:uiPriority w:val="22"/>
    <w:qFormat/>
    <w:rsid w:val="00DB744B"/>
    <w:rPr>
      <w:b/>
      <w:bCs/>
      <w:spacing w:val="0"/>
    </w:rPr>
  </w:style>
  <w:style w:type="character" w:styleId="Enfasicorsivo">
    <w:name w:val="Emphasis"/>
    <w:uiPriority w:val="20"/>
    <w:qFormat/>
    <w:rsid w:val="00DB744B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essunaspaziatura">
    <w:name w:val="No Spacing"/>
    <w:basedOn w:val="Normale"/>
    <w:uiPriority w:val="1"/>
    <w:qFormat/>
    <w:rsid w:val="00DB744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B744B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B744B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744B"/>
    <w:rPr>
      <w:i/>
      <w:iCs/>
      <w:color w:val="5A5A5A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744B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libri" w:eastAsia="Times New Roman" w:hAnsi="Calibri"/>
      <w:smallCaps/>
      <w:color w:val="365F9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744B"/>
    <w:rPr>
      <w:rFonts w:ascii="Calibri" w:eastAsia="Times New Roman" w:hAnsi="Calibri" w:cs="Times New Roman"/>
      <w:smallCaps/>
      <w:color w:val="365F91"/>
      <w:sz w:val="20"/>
      <w:szCs w:val="20"/>
    </w:rPr>
  </w:style>
  <w:style w:type="character" w:styleId="Enfasidelicata">
    <w:name w:val="Subtle Emphasis"/>
    <w:uiPriority w:val="19"/>
    <w:qFormat/>
    <w:rsid w:val="00DB744B"/>
    <w:rPr>
      <w:smallCaps/>
      <w:dstrike w:val="0"/>
      <w:color w:val="5A5A5A"/>
      <w:vertAlign w:val="baseline"/>
    </w:rPr>
  </w:style>
  <w:style w:type="character" w:styleId="Enfasiintensa">
    <w:name w:val="Intense Emphasis"/>
    <w:uiPriority w:val="21"/>
    <w:qFormat/>
    <w:rsid w:val="00DB744B"/>
    <w:rPr>
      <w:b/>
      <w:bCs/>
      <w:smallCaps/>
      <w:color w:val="4F81BD"/>
      <w:spacing w:val="40"/>
    </w:rPr>
  </w:style>
  <w:style w:type="character" w:styleId="Riferimentodelicato">
    <w:name w:val="Subtle Reference"/>
    <w:uiPriority w:val="31"/>
    <w:qFormat/>
    <w:rsid w:val="00DB744B"/>
    <w:rPr>
      <w:rFonts w:ascii="Calibri" w:eastAsia="Times New Roman" w:hAnsi="Calibri" w:cs="Times New Roman"/>
      <w:i/>
      <w:iCs/>
      <w:smallCaps/>
      <w:color w:val="5A5A5A"/>
      <w:spacing w:val="20"/>
    </w:rPr>
  </w:style>
  <w:style w:type="character" w:styleId="Riferimentointenso">
    <w:name w:val="Intense Reference"/>
    <w:uiPriority w:val="32"/>
    <w:qFormat/>
    <w:rsid w:val="00DB744B"/>
    <w:rPr>
      <w:rFonts w:ascii="Calibri" w:eastAsia="Times New Roman" w:hAnsi="Calibri" w:cs="Times New Roman"/>
      <w:b/>
      <w:bCs/>
      <w:i/>
      <w:iCs/>
      <w:smallCaps/>
      <w:color w:val="17365D"/>
      <w:spacing w:val="20"/>
    </w:rPr>
  </w:style>
  <w:style w:type="character" w:styleId="Titolodellibro">
    <w:name w:val="Book Title"/>
    <w:uiPriority w:val="33"/>
    <w:qFormat/>
    <w:rsid w:val="00DB744B"/>
    <w:rPr>
      <w:rFonts w:ascii="Calibri" w:eastAsia="Times New Roman" w:hAnsi="Calibri" w:cs="Times New Roman"/>
      <w:b/>
      <w:bCs/>
      <w:smallCaps/>
      <w:color w:val="17365D"/>
      <w:spacing w:val="10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B744B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1959"/>
    <w:rPr>
      <w:rFonts w:ascii="Tahoma" w:hAnsi="Tahoma" w:cs="Tahoma"/>
      <w:color w:val="5A5A5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B0F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brevolfato/Desktop/DGCOMUNICAZIONE/DIREZIONITERRITORIALIREGIONALI/DIREZIONITERRITORIALIREGIONALI/dtl/cuneo/Procedimenti/procedimenti_cuneo/legale_modelli_procedimenti%201_6/proc_1__emissione%20ord.%20ingiunzione%20o%20archiviazione.pdf" TargetMode="External"/><Relationship Id="rId13" Type="http://schemas.openxmlformats.org/officeDocument/2006/relationships/hyperlink" Target="http://www.lavoro.gov.it/DTL/CN/Documents/mod4istanza_pagamento_rateale.pdf" TargetMode="External"/><Relationship Id="rId18" Type="http://schemas.openxmlformats.org/officeDocument/2006/relationships/hyperlink" Target="http://www.lavoro.gov.it/DTL/CN/Documents/mod4istanza_pagamento_rateale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lavoro.gov.it/DTL/CN/Documents/mod4istanza_pagamento_rateale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lavoro.gov.it/DTL/CN/Documents/mod4istanza_pagamento_rateale.pdf" TargetMode="External"/><Relationship Id="rId17" Type="http://schemas.openxmlformats.org/officeDocument/2006/relationships/hyperlink" Target="http://www.lavoro.gov.it/DTL/CN/Documents/mod4istanza_pagamento_rateale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lavoro.gov.it/DTL/CN/Documents/mod4istanza_pagamento_rateale.pdf" TargetMode="External"/><Relationship Id="rId20" Type="http://schemas.openxmlformats.org/officeDocument/2006/relationships/hyperlink" Target="http://www.lavoro.gov.it/DTL/CN/Documents/mod4istanza_pagamento_rateale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voro.gov.it/DTL/CN/Documents/mod4istanza_pagamento_rateale.pdf" TargetMode="External"/><Relationship Id="rId24" Type="http://schemas.openxmlformats.org/officeDocument/2006/relationships/hyperlink" Target="http://www.lavoro.gov.it/DTL/CN/Documents/mod4istanza_pagamento_rateale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avoro.gov.it/DTL/CN/Documents/mod4istanza_pagamento_rateale.pdf" TargetMode="External"/><Relationship Id="rId23" Type="http://schemas.openxmlformats.org/officeDocument/2006/relationships/hyperlink" Target="http://www.lavoro.gov.it/DTL/CN/Documents/mod4istanza_pagamento_rateale.pdf" TargetMode="External"/><Relationship Id="rId10" Type="http://schemas.openxmlformats.org/officeDocument/2006/relationships/hyperlink" Target="http://www.lavoro.gov.it/DTL/CN/Documents/mod4istanza_pagamento_rateale.pdf" TargetMode="External"/><Relationship Id="rId19" Type="http://schemas.openxmlformats.org/officeDocument/2006/relationships/hyperlink" Target="http://www.lavoro.gov.it/DTL/CN/Documents/mod4istanza_pagamento_rateale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avoro.gov.it/DTL/CN/Documents/mod4istanza_pagamento_rateale.pdf" TargetMode="External"/><Relationship Id="rId14" Type="http://schemas.openxmlformats.org/officeDocument/2006/relationships/hyperlink" Target="http://www.lavoro.gov.it/DTL/CN/Documents/mod4istanza_pagamento_rateale.pdf" TargetMode="External"/><Relationship Id="rId22" Type="http://schemas.openxmlformats.org/officeDocument/2006/relationships/hyperlink" Target="http://www.lavoro.gov.it/DTL/CN/Documents/mod4istanza_pagamento_rateale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06789B4F118645BC1572A7245AAE8A" ma:contentTypeVersion="0" ma:contentTypeDescription="Creare un nuovo documento." ma:contentTypeScope="" ma:versionID="131e3eda467f97d6710536df8681d3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11FAF-C317-4ABB-9950-BBF8A71DDC5A}"/>
</file>

<file path=customXml/itemProps2.xml><?xml version="1.0" encoding="utf-8"?>
<ds:datastoreItem xmlns:ds="http://schemas.openxmlformats.org/officeDocument/2006/customXml" ds:itemID="{F802A388-FE74-4C1C-A92D-FE58D8CDEB7C}"/>
</file>

<file path=customXml/itemProps3.xml><?xml version="1.0" encoding="utf-8"?>
<ds:datastoreItem xmlns:ds="http://schemas.openxmlformats.org/officeDocument/2006/customXml" ds:itemID="{6EFDF5E8-C089-438B-8A79-C772E2BDB6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Links>
    <vt:vector size="96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42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39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36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33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30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27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24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21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18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15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12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9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6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3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  <vt:variant>
        <vt:i4>3670066</vt:i4>
      </vt:variant>
      <vt:variant>
        <vt:i4>0</vt:i4>
      </vt:variant>
      <vt:variant>
        <vt:i4>0</vt:i4>
      </vt:variant>
      <vt:variant>
        <vt:i4>5</vt:i4>
      </vt:variant>
      <vt:variant>
        <vt:lpwstr>http://www.lavoro.gov.it/DPL/CN/Documents/mod4istanza_pagamento_rateale.pdf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NivesSerra</dc:creator>
  <cp:lastModifiedBy>brevolfato</cp:lastModifiedBy>
  <cp:revision>2</cp:revision>
  <cp:lastPrinted>2013-08-13T10:01:00Z</cp:lastPrinted>
  <dcterms:created xsi:type="dcterms:W3CDTF">2013-08-14T08:28:00Z</dcterms:created>
  <dcterms:modified xsi:type="dcterms:W3CDTF">2013-08-14T08:28:00Z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0x0101004E06789B4F118645BC1572A7245AAE8A</vt:lpwstr>
  </property>
  <property fmtid="{D5CDD505-2E9C-101B-9397-08002B2CF9AE}" pid="3" name="Order">
    <vt:r8>17900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